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41D9" w14:textId="26C826A6" w:rsidR="005C7370" w:rsidRPr="00EE3A45" w:rsidRDefault="00992AFC" w:rsidP="00992AFC">
      <w:pPr>
        <w:pStyle w:val="Title"/>
        <w:spacing w:before="168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7F812C" wp14:editId="1069C2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819275"/>
            <wp:effectExtent l="0" t="0" r="9525" b="9525"/>
            <wp:wrapNone/>
            <wp:docPr id="1" name="Picture 1" descr="A picture containing icon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20F2" w:rsidRPr="00A120F2">
        <w:t>Financial Resilience Center Provides Resources to Increase Financial Stability</w:t>
      </w:r>
    </w:p>
    <w:p w14:paraId="4BC453E2" w14:textId="69FB1BBE" w:rsidR="00955638" w:rsidRPr="00A120F2" w:rsidRDefault="00A120F2" w:rsidP="00A120F2">
      <w:pPr>
        <w:shd w:val="clear" w:color="auto" w:fill="FFFFFF"/>
        <w:spacing w:after="0" w:line="276" w:lineRule="auto"/>
        <w:textAlignment w:val="baseline"/>
        <w:rPr>
          <w:rFonts w:hAnsi="Arial" w:cs="Arial"/>
        </w:rPr>
      </w:pPr>
      <w:r w:rsidRPr="008513FD">
        <w:rPr>
          <w:rFonts w:hAnsi="Arial" w:cs="Arial"/>
        </w:rPr>
        <w:t>Financial resilience is the ability to bounce back through difficult times, emerge stronger on the other side and flourish in the “new normal.”</w:t>
      </w:r>
      <w:r>
        <w:rPr>
          <w:rFonts w:hAnsi="Arial" w:cs="Arial"/>
        </w:rPr>
        <w:t xml:space="preserve"> The </w:t>
      </w:r>
      <w:hyperlink r:id="rId8" w:history="1">
        <w:r w:rsidRPr="00580EDD">
          <w:rPr>
            <w:rStyle w:val="Hyperlink"/>
            <w:rFonts w:hAnsi="Arial" w:cs="Arial"/>
          </w:rPr>
          <w:t>National Disability Institute</w:t>
        </w:r>
      </w:hyperlink>
      <w:r w:rsidRPr="00580EDD">
        <w:rPr>
          <w:rFonts w:hAnsi="Arial" w:cs="Arial"/>
        </w:rPr>
        <w:t xml:space="preserve"> (NDI) </w:t>
      </w:r>
      <w:hyperlink r:id="rId9" w:history="1">
        <w:r w:rsidRPr="00580EDD">
          <w:rPr>
            <w:rStyle w:val="Hyperlink"/>
            <w:rFonts w:hAnsi="Arial" w:cs="Arial"/>
          </w:rPr>
          <w:t>Financial Resilience Center</w:t>
        </w:r>
      </w:hyperlink>
      <w:r w:rsidRPr="00580EDD">
        <w:rPr>
          <w:rFonts w:hAnsi="Arial" w:cs="Arial"/>
        </w:rPr>
        <w:t xml:space="preserve"> </w:t>
      </w:r>
      <w:r>
        <w:rPr>
          <w:rFonts w:hAnsi="Arial" w:cs="Arial"/>
        </w:rPr>
        <w:t xml:space="preserve">is </w:t>
      </w:r>
      <w:r w:rsidRPr="00580EDD">
        <w:rPr>
          <w:rFonts w:hAnsi="Arial" w:cs="Arial"/>
        </w:rPr>
        <w:t xml:space="preserve">an online </w:t>
      </w:r>
      <w:r>
        <w:rPr>
          <w:rFonts w:hAnsi="Arial" w:cs="Arial"/>
        </w:rPr>
        <w:t>information hub to help</w:t>
      </w:r>
      <w:r w:rsidRPr="00580EDD">
        <w:rPr>
          <w:rFonts w:hAnsi="Arial" w:cs="Arial"/>
        </w:rPr>
        <w:t xml:space="preserve"> peo</w:t>
      </w:r>
      <w:r>
        <w:rPr>
          <w:rFonts w:hAnsi="Arial" w:cs="Arial"/>
        </w:rPr>
        <w:t xml:space="preserve">ple with disabilities and </w:t>
      </w:r>
      <w:r w:rsidRPr="00580EDD">
        <w:rPr>
          <w:rFonts w:hAnsi="Arial" w:cs="Arial"/>
        </w:rPr>
        <w:t>chronic health conditions</w:t>
      </w:r>
      <w:r>
        <w:rPr>
          <w:rFonts w:hAnsi="Arial" w:cs="Arial"/>
        </w:rPr>
        <w:t xml:space="preserve"> build their financial resilience. NDI’s Financial Resilience Center answers frequently asked questions about Employment and Unemployment; Public Benefits; Housing, Food and Healthcare; Money Management; Identity Theft; and more. </w:t>
      </w:r>
      <w:r w:rsidRPr="00580EDD">
        <w:rPr>
          <w:rFonts w:hAnsi="Arial" w:cs="Arial"/>
        </w:rPr>
        <w:t xml:space="preserve">Provided at no </w:t>
      </w:r>
      <w:r>
        <w:rPr>
          <w:rFonts w:hAnsi="Arial" w:cs="Arial"/>
        </w:rPr>
        <w:t xml:space="preserve">cost, these resources and tips are designed </w:t>
      </w:r>
      <w:r w:rsidRPr="00580EDD">
        <w:rPr>
          <w:rFonts w:hAnsi="Arial" w:cs="Arial"/>
        </w:rPr>
        <w:t xml:space="preserve">to increase financial stability and reduce economic stress. </w:t>
      </w:r>
      <w:r>
        <w:rPr>
          <w:rFonts w:hAnsi="Arial" w:cs="Arial"/>
        </w:rPr>
        <w:t>Additionally, t</w:t>
      </w:r>
      <w:r w:rsidRPr="008A1AEE">
        <w:rPr>
          <w:rFonts w:hAnsi="Arial" w:cs="Arial"/>
        </w:rPr>
        <w:t>he</w:t>
      </w:r>
      <w:r>
        <w:rPr>
          <w:rFonts w:hAnsi="Arial" w:cs="Arial"/>
        </w:rPr>
        <w:t xml:space="preserve"> Center’s </w:t>
      </w:r>
      <w:r w:rsidRPr="008A1AEE">
        <w:rPr>
          <w:rFonts w:hAnsi="Arial" w:cs="Arial"/>
        </w:rPr>
        <w:t>partnership with the Association for Financial Counseling, Planning and Education® (</w:t>
      </w:r>
      <w:hyperlink r:id="rId10" w:anchor="afcpe" w:history="1">
        <w:r w:rsidRPr="008A1AEE">
          <w:rPr>
            <w:rStyle w:val="Hyperlink"/>
            <w:rFonts w:hAnsi="Arial" w:cs="Arial"/>
            <w:bCs/>
          </w:rPr>
          <w:t>AFCPE</w:t>
        </w:r>
      </w:hyperlink>
      <w:r w:rsidRPr="008A1AEE">
        <w:rPr>
          <w:rFonts w:hAnsi="Arial" w:cs="Arial"/>
        </w:rPr>
        <w:t>) </w:t>
      </w:r>
      <w:r>
        <w:rPr>
          <w:rFonts w:hAnsi="Arial" w:cs="Arial"/>
        </w:rPr>
        <w:t>provides</w:t>
      </w:r>
      <w:r w:rsidRPr="008A1AEE">
        <w:rPr>
          <w:rFonts w:hAnsi="Arial" w:cs="Arial"/>
        </w:rPr>
        <w:t xml:space="preserve"> </w:t>
      </w:r>
      <w:r>
        <w:rPr>
          <w:rFonts w:hAnsi="Arial" w:cs="Arial"/>
        </w:rPr>
        <w:t xml:space="preserve">referrals to one-on-one, </w:t>
      </w:r>
      <w:r w:rsidRPr="008A1AEE">
        <w:rPr>
          <w:rFonts w:hAnsi="Arial" w:cs="Arial"/>
        </w:rPr>
        <w:t xml:space="preserve">virtual financial counseling </w:t>
      </w:r>
      <w:r>
        <w:rPr>
          <w:rFonts w:hAnsi="Arial" w:cs="Arial"/>
        </w:rPr>
        <w:t>or</w:t>
      </w:r>
      <w:r w:rsidRPr="008A1AEE">
        <w:rPr>
          <w:rFonts w:hAnsi="Arial" w:cs="Arial"/>
        </w:rPr>
        <w:t xml:space="preserve"> coaching,</w:t>
      </w:r>
      <w:r>
        <w:rPr>
          <w:rFonts w:hAnsi="Arial" w:cs="Arial"/>
        </w:rPr>
        <w:t xml:space="preserve"> and </w:t>
      </w:r>
      <w:hyperlink r:id="rId11" w:anchor="lifecents" w:history="1">
        <w:r w:rsidRPr="008A1AEE">
          <w:rPr>
            <w:rStyle w:val="Hyperlink"/>
            <w:rFonts w:hAnsi="Arial" w:cs="Arial"/>
            <w:bCs/>
          </w:rPr>
          <w:t>LifeCents</w:t>
        </w:r>
      </w:hyperlink>
      <w:r w:rsidRPr="008A1AEE">
        <w:rPr>
          <w:rFonts w:hAnsi="Arial" w:cs="Arial"/>
        </w:rPr>
        <w:t> </w:t>
      </w:r>
      <w:r>
        <w:rPr>
          <w:rFonts w:hAnsi="Arial" w:cs="Arial"/>
        </w:rPr>
        <w:t>which offers online financial wellness training that gives personalized guidance for each individual’s situation.</w:t>
      </w:r>
      <w:r>
        <w:rPr>
          <w:rFonts w:eastAsia="Times New Roman" w:hAnsi="Arial" w:cs="Arial"/>
          <w:bCs/>
          <w:iCs/>
          <w:color w:val="000000"/>
          <w:bdr w:val="none" w:sz="0" w:space="0" w:color="auto" w:frame="1"/>
        </w:rPr>
        <w:t xml:space="preserve"> </w:t>
      </w:r>
      <w:r>
        <w:rPr>
          <w:rFonts w:eastAsia="Times New Roman" w:hAnsi="Arial" w:cs="Arial"/>
          <w:color w:val="000000"/>
        </w:rPr>
        <w:t>The Financial Resilience Center is updated frequently.</w:t>
      </w:r>
      <w:r w:rsidRPr="002366F8">
        <w:rPr>
          <w:rFonts w:eastAsia="Times New Roman" w:hAnsi="Arial" w:cs="Arial"/>
          <w:bCs/>
          <w:iCs/>
          <w:color w:val="000000"/>
          <w:bdr w:val="none" w:sz="0" w:space="0" w:color="auto" w:frame="1"/>
        </w:rPr>
        <w:t xml:space="preserve"> </w:t>
      </w:r>
      <w:r w:rsidRPr="00580EDD">
        <w:rPr>
          <w:rFonts w:eastAsia="Times New Roman" w:hAnsi="Arial" w:cs="Arial"/>
          <w:color w:val="000000"/>
        </w:rPr>
        <w:t>Visit the </w:t>
      </w:r>
      <w:hyperlink r:id="rId12" w:tooltip="https://www.nationaldisabilityinstitute.org/financial-resilience-center/" w:history="1">
        <w:r w:rsidRPr="00A120F2">
          <w:rPr>
            <w:rFonts w:eastAsia="Times New Roman" w:hAnsi="Arial" w:cs="Arial"/>
            <w:b/>
            <w:bCs/>
            <w:color w:val="10879B"/>
            <w:u w:val="single"/>
            <w:bdr w:val="none" w:sz="0" w:space="0" w:color="auto" w:frame="1"/>
          </w:rPr>
          <w:t>Financial Resilience Center</w:t>
        </w:r>
      </w:hyperlink>
      <w:r>
        <w:rPr>
          <w:rFonts w:eastAsia="Times New Roman" w:hAnsi="Arial" w:cs="Arial"/>
          <w:color w:val="000000"/>
        </w:rPr>
        <w:t xml:space="preserve"> and </w:t>
      </w:r>
      <w:hyperlink r:id="rId13" w:history="1">
        <w:r w:rsidRPr="002E44A2">
          <w:rPr>
            <w:rStyle w:val="Hyperlink"/>
            <w:rFonts w:eastAsia="Times New Roman" w:hAnsi="Arial" w:cs="Arial"/>
          </w:rPr>
          <w:t>sign up for email updates</w:t>
        </w:r>
      </w:hyperlink>
      <w:r>
        <w:rPr>
          <w:rFonts w:eastAsia="Times New Roman" w:hAnsi="Arial" w:cs="Arial"/>
        </w:rPr>
        <w:t xml:space="preserve"> to continuously receive information on new resources and current event updates as they become available. </w:t>
      </w:r>
      <w:r w:rsidRPr="008513FD">
        <w:t xml:space="preserve"> </w:t>
      </w:r>
      <w:r w:rsidRPr="00580EDD">
        <w:rPr>
          <w:rFonts w:eastAsia="Times New Roman" w:hAnsi="Arial" w:cs="Arial"/>
          <w:bCs/>
          <w:iCs/>
          <w:color w:val="000000"/>
          <w:bdr w:val="none" w:sz="0" w:space="0" w:color="auto" w:frame="1"/>
        </w:rPr>
        <w:t xml:space="preserve">The Financial Resilience Center was developed by National Disability Institute with generous funding from the </w:t>
      </w:r>
      <w:hyperlink r:id="rId14" w:history="1">
        <w:r w:rsidRPr="00111ED2">
          <w:rPr>
            <w:rStyle w:val="Hyperlink"/>
            <w:rFonts w:eastAsia="Times New Roman" w:hAnsi="Arial" w:cs="Arial"/>
            <w:bCs/>
            <w:iCs/>
            <w:bdr w:val="none" w:sz="0" w:space="0" w:color="auto" w:frame="1"/>
          </w:rPr>
          <w:t>Wells Fargo Foundation</w:t>
        </w:r>
      </w:hyperlink>
      <w:r w:rsidR="00EE3A45" w:rsidRPr="00EE3A45">
        <w:t>.</w:t>
      </w:r>
    </w:p>
    <w:p w14:paraId="439D6DCB" w14:textId="2EA83A18" w:rsidR="00EE3A45" w:rsidRDefault="00EE3A45" w:rsidP="0098683D">
      <w:pPr>
        <w:spacing w:before="0" w:after="0"/>
      </w:pPr>
    </w:p>
    <w:sectPr w:rsidR="00EE3A45" w:rsidSect="00955638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A778" w14:textId="77777777" w:rsidR="002B2FE3" w:rsidRDefault="002B2FE3" w:rsidP="00EE3A45">
      <w:r>
        <w:separator/>
      </w:r>
    </w:p>
  </w:endnote>
  <w:endnote w:type="continuationSeparator" w:id="0">
    <w:p w14:paraId="1AC80D04" w14:textId="77777777" w:rsidR="002B2FE3" w:rsidRDefault="002B2FE3" w:rsidP="00E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E20D" w14:textId="77777777" w:rsidR="00D83360" w:rsidRPr="008C52AA" w:rsidRDefault="00D83360" w:rsidP="008C52AA">
    <w:pPr>
      <w:pStyle w:val="Footer"/>
      <w:spacing w:before="360"/>
      <w:jc w:val="center"/>
      <w:rPr>
        <w:rFonts w:hAnsi="Arial"/>
        <w:b/>
        <w:bCs/>
        <w:color w:val="274448"/>
      </w:rPr>
    </w:pPr>
    <w:r w:rsidRPr="008C52AA">
      <w:rPr>
        <w:rFonts w:hAnsi="Arial"/>
        <w:b/>
        <w:bCs/>
        <w:noProof/>
        <w:color w:val="2744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E8A4A" wp14:editId="499C2C1F">
              <wp:simplePos x="0" y="0"/>
              <wp:positionH relativeFrom="margin">
                <wp:posOffset>-520700</wp:posOffset>
              </wp:positionH>
              <wp:positionV relativeFrom="paragraph">
                <wp:posOffset>71754</wp:posOffset>
              </wp:positionV>
              <wp:extent cx="6972300" cy="45719"/>
              <wp:effectExtent l="0" t="0" r="1270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72300" cy="45719"/>
                      </a:xfrm>
                      <a:prstGeom prst="rect">
                        <a:avLst/>
                      </a:prstGeom>
                      <a:solidFill>
                        <a:srgbClr val="1087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320718" id="Rectangle 2" o:spid="_x0000_s1026" style="position:absolute;margin-left:-41pt;margin-top:5.65pt;width:549pt;height:3.6pt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" fillcolor="#10879b" stroked="f" strokeweight="1pt">
              <w10:wrap anchorx="margin"/>
            </v:rect>
          </w:pict>
        </mc:Fallback>
      </mc:AlternateContent>
    </w:r>
    <w:r w:rsidR="00EF2591">
      <w:rPr>
        <w:rFonts w:hAnsi="Arial"/>
        <w:b/>
        <w:bCs/>
        <w:color w:val="274448"/>
      </w:rPr>
      <w:t>financialresiliencecenter.org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A169" w14:textId="77777777" w:rsidR="00955638" w:rsidRPr="008C52AA" w:rsidRDefault="00955638" w:rsidP="00955638">
    <w:pPr>
      <w:pStyle w:val="Footer"/>
      <w:spacing w:before="360"/>
      <w:jc w:val="center"/>
      <w:rPr>
        <w:rFonts w:hAnsi="Arial"/>
        <w:b/>
        <w:bCs/>
        <w:color w:val="274448"/>
      </w:rPr>
    </w:pPr>
    <w:r w:rsidRPr="008C52AA">
      <w:rPr>
        <w:rFonts w:hAnsi="Arial"/>
        <w:b/>
        <w:bCs/>
        <w:noProof/>
        <w:color w:val="2744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F029BC" wp14:editId="5D7DD94D">
              <wp:simplePos x="0" y="0"/>
              <wp:positionH relativeFrom="margin">
                <wp:posOffset>-520700</wp:posOffset>
              </wp:positionH>
              <wp:positionV relativeFrom="paragraph">
                <wp:posOffset>71754</wp:posOffset>
              </wp:positionV>
              <wp:extent cx="6972300" cy="45719"/>
              <wp:effectExtent l="0" t="0" r="12700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72300" cy="45719"/>
                      </a:xfrm>
                      <a:prstGeom prst="rect">
                        <a:avLst/>
                      </a:prstGeom>
                      <a:solidFill>
                        <a:srgbClr val="1087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DF45F" id="Rectangle 3" o:spid="_x0000_s1026" style="position:absolute;margin-left:-41pt;margin-top:5.65pt;width:549pt;height:3.6pt;flip:y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" fillcolor="#10879b" stroked="f" strokeweight="1pt">
              <w10:wrap anchorx="margin"/>
            </v:rect>
          </w:pict>
        </mc:Fallback>
      </mc:AlternateContent>
    </w:r>
    <w:r w:rsidR="00EF2591">
      <w:rPr>
        <w:rFonts w:hAnsi="Arial"/>
        <w:b/>
        <w:bCs/>
        <w:color w:val="274448"/>
      </w:rPr>
      <w:t>financialresiliencecenter.org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FA6E" w14:textId="77777777" w:rsidR="002B2FE3" w:rsidRDefault="002B2FE3" w:rsidP="00EE3A45">
      <w:r>
        <w:separator/>
      </w:r>
    </w:p>
  </w:footnote>
  <w:footnote w:type="continuationSeparator" w:id="0">
    <w:p w14:paraId="1C7B39EA" w14:textId="77777777" w:rsidR="002B2FE3" w:rsidRDefault="002B2FE3" w:rsidP="00EE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8685" w14:textId="77777777" w:rsidR="00D83360" w:rsidRDefault="00955638" w:rsidP="00955638">
    <w:pPr>
      <w:pStyle w:val="Header"/>
      <w:tabs>
        <w:tab w:val="left" w:pos="510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5032523A" wp14:editId="35895A15">
          <wp:simplePos x="0" y="0"/>
          <wp:positionH relativeFrom="margin">
            <wp:posOffset>2226310</wp:posOffset>
          </wp:positionH>
          <wp:positionV relativeFrom="paragraph">
            <wp:posOffset>169214</wp:posOffset>
          </wp:positionV>
          <wp:extent cx="1490345" cy="403225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0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519764" wp14:editId="6229C745">
              <wp:simplePos x="0" y="0"/>
              <wp:positionH relativeFrom="margin">
                <wp:posOffset>-514350</wp:posOffset>
              </wp:positionH>
              <wp:positionV relativeFrom="paragraph">
                <wp:posOffset>8890</wp:posOffset>
              </wp:positionV>
              <wp:extent cx="6972300" cy="4508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45085"/>
                      </a:xfrm>
                      <a:prstGeom prst="rect">
                        <a:avLst/>
                      </a:prstGeom>
                      <a:solidFill>
                        <a:srgbClr val="1087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B2811" id="Rectangle 5" o:spid="_x0000_s1026" style="position:absolute;margin-left:-40.5pt;margin-top:.7pt;width:549pt;height:3.5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" fillcolor="#10879b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A80A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E233D"/>
    <w:multiLevelType w:val="hybridMultilevel"/>
    <w:tmpl w:val="33E06064"/>
    <w:lvl w:ilvl="0" w:tplc="394C943A">
      <w:start w:val="1"/>
      <w:numFmt w:val="bullet"/>
      <w:lvlText w:val=""/>
      <w:lvlJc w:val="left"/>
      <w:pPr>
        <w:ind w:left="1281" w:hanging="361"/>
      </w:pPr>
      <w:rPr>
        <w:rFonts w:ascii="Symbol" w:eastAsia="Symbol" w:hAnsi="Symbol" w:hint="default"/>
        <w:color w:val="0A2D33"/>
        <w:sz w:val="24"/>
        <w:szCs w:val="24"/>
      </w:rPr>
    </w:lvl>
    <w:lvl w:ilvl="1" w:tplc="08F2730C">
      <w:start w:val="1"/>
      <w:numFmt w:val="bullet"/>
      <w:lvlText w:val="•"/>
      <w:lvlJc w:val="left"/>
      <w:pPr>
        <w:ind w:left="2194" w:hanging="361"/>
      </w:pPr>
      <w:rPr>
        <w:rFonts w:hint="default"/>
      </w:rPr>
    </w:lvl>
    <w:lvl w:ilvl="2" w:tplc="0B46F2C6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3" w:tplc="5C7EB418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4" w:tplc="9E2455FC">
      <w:start w:val="1"/>
      <w:numFmt w:val="bullet"/>
      <w:lvlText w:val="•"/>
      <w:lvlJc w:val="left"/>
      <w:pPr>
        <w:ind w:left="4936" w:hanging="361"/>
      </w:pPr>
      <w:rPr>
        <w:rFonts w:hint="default"/>
      </w:rPr>
    </w:lvl>
    <w:lvl w:ilvl="5" w:tplc="2DB01A70">
      <w:start w:val="1"/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7CDC6EC0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7" w:tplc="22DE0FA6">
      <w:start w:val="1"/>
      <w:numFmt w:val="bullet"/>
      <w:lvlText w:val="•"/>
      <w:lvlJc w:val="left"/>
      <w:pPr>
        <w:ind w:left="7678" w:hanging="361"/>
      </w:pPr>
      <w:rPr>
        <w:rFonts w:hint="default"/>
      </w:rPr>
    </w:lvl>
    <w:lvl w:ilvl="8" w:tplc="D7847EDA">
      <w:start w:val="1"/>
      <w:numFmt w:val="bullet"/>
      <w:lvlText w:val="•"/>
      <w:lvlJc w:val="left"/>
      <w:pPr>
        <w:ind w:left="859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F2"/>
    <w:rsid w:val="00084C11"/>
    <w:rsid w:val="001523F0"/>
    <w:rsid w:val="00185F7E"/>
    <w:rsid w:val="001C16E2"/>
    <w:rsid w:val="002524CB"/>
    <w:rsid w:val="002833F8"/>
    <w:rsid w:val="002B2FE3"/>
    <w:rsid w:val="002F3703"/>
    <w:rsid w:val="0035288D"/>
    <w:rsid w:val="003B5544"/>
    <w:rsid w:val="004876E7"/>
    <w:rsid w:val="004E63BF"/>
    <w:rsid w:val="00585AED"/>
    <w:rsid w:val="006D3D44"/>
    <w:rsid w:val="0072117F"/>
    <w:rsid w:val="007841A8"/>
    <w:rsid w:val="00850CB9"/>
    <w:rsid w:val="008C1600"/>
    <w:rsid w:val="008C52AA"/>
    <w:rsid w:val="008E0CD9"/>
    <w:rsid w:val="009174C8"/>
    <w:rsid w:val="00955638"/>
    <w:rsid w:val="0098683D"/>
    <w:rsid w:val="00992AFC"/>
    <w:rsid w:val="009C0683"/>
    <w:rsid w:val="009D5703"/>
    <w:rsid w:val="00A120F2"/>
    <w:rsid w:val="00B1461F"/>
    <w:rsid w:val="00B555F2"/>
    <w:rsid w:val="00B81136"/>
    <w:rsid w:val="00B9118A"/>
    <w:rsid w:val="00BB5769"/>
    <w:rsid w:val="00BF0560"/>
    <w:rsid w:val="00D5031B"/>
    <w:rsid w:val="00D83360"/>
    <w:rsid w:val="00E31CE5"/>
    <w:rsid w:val="00E754C4"/>
    <w:rsid w:val="00EE3A45"/>
    <w:rsid w:val="00EE6B92"/>
    <w:rsid w:val="00EF2591"/>
    <w:rsid w:val="00F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19060"/>
  <w14:defaultImageDpi w14:val="32767"/>
  <w15:chartTrackingRefBased/>
  <w15:docId w15:val="{199E7139-2E98-48B0-A3F9-96355D2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3A45"/>
    <w:pPr>
      <w:spacing w:before="120" w:after="120"/>
    </w:pPr>
    <w:rPr>
      <w:rFonts w:asci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A45"/>
    <w:pPr>
      <w:spacing w:before="240" w:after="240"/>
      <w:outlineLvl w:val="0"/>
    </w:pPr>
    <w:rPr>
      <w:b/>
      <w:color w:val="10879B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A45"/>
    <w:pPr>
      <w:spacing w:before="240" w:after="240"/>
      <w:outlineLvl w:val="1"/>
    </w:pPr>
    <w:rPr>
      <w:b/>
      <w:color w:val="10879B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3BF"/>
    <w:pPr>
      <w:outlineLvl w:val="2"/>
    </w:pPr>
    <w:rPr>
      <w:rFonts w:hAnsi="Arial" w:cs="Arial"/>
      <w:b/>
      <w:bCs/>
      <w:i/>
      <w:iCs/>
      <w:color w:val="2744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63BF"/>
    <w:pPr>
      <w:outlineLvl w:val="3"/>
    </w:pPr>
    <w:rPr>
      <w:i/>
      <w:color w:val="1087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360"/>
  </w:style>
  <w:style w:type="paragraph" w:styleId="Footer">
    <w:name w:val="footer"/>
    <w:basedOn w:val="Normal"/>
    <w:link w:val="FooterChar"/>
    <w:uiPriority w:val="99"/>
    <w:unhideWhenUsed/>
    <w:rsid w:val="00D83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360"/>
  </w:style>
  <w:style w:type="paragraph" w:styleId="NoSpacing">
    <w:name w:val="No Spacing"/>
    <w:uiPriority w:val="1"/>
    <w:qFormat/>
    <w:rsid w:val="00D83360"/>
    <w:rPr>
      <w:rFonts w:eastAsiaTheme="minorEastAsia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E3A45"/>
    <w:rPr>
      <w:rFonts w:ascii="Arial"/>
      <w:b/>
      <w:color w:val="10879B"/>
      <w:sz w:val="28"/>
    </w:rPr>
  </w:style>
  <w:style w:type="paragraph" w:styleId="BodyText">
    <w:name w:val="Body Text"/>
    <w:basedOn w:val="Normal"/>
    <w:link w:val="BodyTextChar"/>
    <w:uiPriority w:val="1"/>
    <w:qFormat/>
    <w:rsid w:val="00BF0560"/>
    <w:pPr>
      <w:widowControl w:val="0"/>
      <w:ind w:left="1011" w:hanging="361"/>
    </w:pPr>
    <w:rPr>
      <w:rFonts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F0560"/>
    <w:rPr>
      <w:rFonts w:ascii="Arial" w:eastAsia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3A45"/>
    <w:rPr>
      <w:b/>
      <w:color w:val="10879B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A45"/>
    <w:rPr>
      <w:rFonts w:ascii="Arial"/>
      <w:b/>
      <w:color w:val="10879B"/>
      <w:sz w:val="36"/>
      <w:szCs w:val="36"/>
    </w:rPr>
  </w:style>
  <w:style w:type="paragraph" w:styleId="Title">
    <w:name w:val="Title"/>
    <w:basedOn w:val="Heading1"/>
    <w:next w:val="Normal"/>
    <w:link w:val="TitleChar"/>
    <w:uiPriority w:val="10"/>
    <w:qFormat/>
    <w:rsid w:val="00EE3A45"/>
    <w:pPr>
      <w:spacing w:after="360"/>
    </w:pPr>
    <w:rPr>
      <w:color w:val="27444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3A45"/>
    <w:rPr>
      <w:rFonts w:ascii="Arial"/>
      <w:b/>
      <w:color w:val="274448"/>
      <w:sz w:val="40"/>
      <w:szCs w:val="40"/>
    </w:rPr>
  </w:style>
  <w:style w:type="paragraph" w:styleId="ListParagraph">
    <w:name w:val="List Paragraph"/>
    <w:basedOn w:val="Normal"/>
    <w:uiPriority w:val="34"/>
    <w:qFormat/>
    <w:rsid w:val="00EE3A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63BF"/>
    <w:rPr>
      <w:rFonts w:ascii="Arial" w:hAnsi="Arial" w:cs="Arial"/>
      <w:b/>
      <w:bCs/>
      <w:i/>
      <w:iCs/>
      <w:color w:val="274448"/>
    </w:rPr>
  </w:style>
  <w:style w:type="character" w:customStyle="1" w:styleId="Heading4Char">
    <w:name w:val="Heading 4 Char"/>
    <w:basedOn w:val="DefaultParagraphFont"/>
    <w:link w:val="Heading4"/>
    <w:uiPriority w:val="9"/>
    <w:rsid w:val="004E63BF"/>
    <w:rPr>
      <w:rFonts w:ascii="Arial"/>
      <w:i/>
      <w:color w:val="10879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disabilityinstitute.org/" TargetMode="External"/><Relationship Id="rId13" Type="http://schemas.openxmlformats.org/officeDocument/2006/relationships/hyperlink" Target="http://eepurl.com/gZX9k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ationaldisabilityinstitute.org/financial-resilience-center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ionaldisabilityinstitute.org/financial-resilience-center/take-actio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ationaldisabilityinstitute.org/financial-resilience-center/take-ac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tionaldisabilityinstitute.org/financial-resilience-center/" TargetMode="External"/><Relationship Id="rId14" Type="http://schemas.openxmlformats.org/officeDocument/2006/relationships/hyperlink" Target="https://www.wellsfargo.com/about/corporate-responsibility/community-giv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\Dropbox%20(NDI)\COVID-19%20Financial%20Resilience%20Center\Communications\Templates\FRC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FRC-Word-Template</Template>
  <TotalTime>10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 Auchenbach</cp:lastModifiedBy>
  <cp:revision>2</cp:revision>
  <cp:lastPrinted>2019-09-18T21:53:00Z</cp:lastPrinted>
  <dcterms:created xsi:type="dcterms:W3CDTF">2021-11-29T04:49:00Z</dcterms:created>
  <dcterms:modified xsi:type="dcterms:W3CDTF">2021-11-29T05:25:00Z</dcterms:modified>
</cp:coreProperties>
</file>